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line="240" w:lineRule="auto"/>
        <w:ind w:firstLine="0"/>
        <w:jc w:val="center"/>
      </w:pPr>
      <w:r>
        <w:t>Прокуратура Тарасовского района информирует о способах мошенничества в сфере инвестиций и дополнительного заработка</w:t>
      </w:r>
    </w:p>
    <w:p w14:paraId="07000000">
      <w:pPr>
        <w:spacing w:line="240" w:lineRule="auto"/>
        <w:ind w:firstLine="709"/>
        <w:jc w:val="both"/>
      </w:pPr>
    </w:p>
    <w:p w14:paraId="08000000">
      <w:pPr>
        <w:spacing w:line="240" w:lineRule="auto"/>
        <w:ind w:firstLine="709"/>
        <w:jc w:val="both"/>
      </w:pPr>
      <w:r>
        <w:t>Предлагают вложить деньги и получить прибыль до 250% годовых? Не спешите переводить сбережения: скорее всего, под маской сотрудников инвестиционной или брокерской компании скрываются финансовые аферисты. Рассказываем, как их распознать и не потерять свои деньги.</w:t>
      </w:r>
    </w:p>
    <w:p w14:paraId="09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Схемы аферистов с инвестициями</w:t>
      </w:r>
    </w:p>
    <w:p w14:paraId="0A000000">
      <w:pPr>
        <w:spacing w:line="240" w:lineRule="auto"/>
        <w:ind w:firstLine="709"/>
        <w:jc w:val="both"/>
      </w:pPr>
      <w:r>
        <w:t>Инвестиционные мошенники — хорошие психологи, которые знают, как вызвать интерес, расположить собеседника к себе и убедить человека расстаться с собственными сбережениями.</w:t>
      </w:r>
    </w:p>
    <w:p w14:paraId="0B000000">
      <w:pPr>
        <w:spacing w:line="240" w:lineRule="auto"/>
        <w:ind w:firstLine="709"/>
        <w:jc w:val="both"/>
      </w:pPr>
      <w:r>
        <w:t>Часто для обмана злоумышленники создают сайты, которые сложно отличить от настоящих сайтов банков и брокерских компаний. А еще выкладывают посты в соцсетях от имени вымышленных людей или выступают под видом компетентных экономистов, рекламируя подозрительные инструменты с высоким доходом.</w:t>
      </w:r>
    </w:p>
    <w:p w14:paraId="0C000000">
      <w:pPr>
        <w:spacing w:line="240" w:lineRule="auto"/>
        <w:ind w:firstLine="709"/>
        <w:jc w:val="both"/>
      </w:pPr>
      <w:r>
        <w:t>Прежде всего в таких предложениях должна насторожить высокая доходность: от 30% до 250% годовых и выше.</w:t>
      </w:r>
    </w:p>
    <w:p w14:paraId="0D000000">
      <w:pPr>
        <w:spacing w:line="240" w:lineRule="auto"/>
        <w:ind w:firstLine="709"/>
        <w:jc w:val="both"/>
      </w:pPr>
      <w:r>
        <w:t>Первый шаг этой схемы — заставить человека зарегистрироваться на сайте. Второй — пополнить виртуальный счет, то есть перевести деньги.</w:t>
      </w:r>
    </w:p>
    <w:p w14:paraId="0E000000">
      <w:pPr>
        <w:spacing w:line="240" w:lineRule="auto"/>
        <w:ind w:firstLine="709"/>
        <w:jc w:val="both"/>
      </w:pPr>
      <w:r>
        <w:t>Но первое время все выглядит по-настоящему. К начинающему инвестору подключают «опытного» экономиста, который дает советы: как выгоднее распорядиться деньгами и во что инвестировать. Цель у наставника одна — вытащить у клиента как можно большую сумму. Поэтому вначале «доход» на виртуальном счете растет, якобы от удачных инвестиций. Но все это — фейковая информация, а деньги на самом деле находятся у злоумышленников.</w:t>
      </w:r>
    </w:p>
    <w:p w14:paraId="0F000000">
      <w:pPr>
        <w:spacing w:line="240" w:lineRule="auto"/>
        <w:ind w:firstLine="709"/>
        <w:jc w:val="both"/>
      </w:pPr>
      <w:r>
        <w:t>Иногда, чтобы вызвать доверие, жертве действительно поступает на карту небольшая сумма — якобы дивиденды с акций. Но это всего лишь еще одна наживка.</w:t>
      </w:r>
    </w:p>
    <w:p w14:paraId="10000000">
      <w:pPr>
        <w:spacing w:line="240" w:lineRule="auto"/>
        <w:ind w:firstLine="709"/>
        <w:jc w:val="both"/>
      </w:pPr>
      <w:r>
        <w:t>Если человек пытается вывести вложения или откажется инвестировать больше, мошенники стараются давить сильнее: рисуют перспективы обогащения, предлагают взять кредит и продать имущество ради быстрого заработка.</w:t>
      </w:r>
    </w:p>
    <w:p w14:paraId="11000000">
      <w:pPr>
        <w:spacing w:line="240" w:lineRule="auto"/>
        <w:ind w:firstLine="709"/>
        <w:jc w:val="both"/>
      </w:pPr>
      <w:r>
        <w:t>Но даже если человек продолжит настаивать на своем и потребует вернуть деньги, сделать это вряд ли получится. Мошенники могут объяснить это высокими комиссиями, которые «съели» всю сумму, или просто перестанут выходить на связь.</w:t>
      </w:r>
    </w:p>
    <w:p w14:paraId="12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Как распознать аферистов:</w:t>
      </w:r>
    </w:p>
    <w:p w14:paraId="13000000">
      <w:pPr>
        <w:spacing w:line="240" w:lineRule="auto"/>
        <w:ind w:firstLine="709"/>
        <w:jc w:val="both"/>
      </w:pPr>
      <w:r>
        <w:t>Схемы у инвестиционных мошенников примерно одинаковые. Распознать их помогут эти 8 базовых факторов:</w:t>
      </w:r>
    </w:p>
    <w:p w14:paraId="14000000">
      <w:pPr>
        <w:spacing w:line="240" w:lineRule="auto"/>
        <w:ind w:firstLine="709"/>
        <w:jc w:val="both"/>
      </w:pPr>
      <w:r>
        <w:t>Обещают высокий доход за короткий срок, например, 50% за два месяца.</w:t>
      </w:r>
    </w:p>
    <w:p w14:paraId="15000000">
      <w:pPr>
        <w:spacing w:line="240" w:lineRule="auto"/>
        <w:ind w:firstLine="709"/>
        <w:jc w:val="both"/>
      </w:pPr>
      <w:r>
        <w:t>Настаивают на немедленном перечислении денег.</w:t>
      </w:r>
    </w:p>
    <w:p w14:paraId="16000000">
      <w:pPr>
        <w:spacing w:line="240" w:lineRule="auto"/>
        <w:ind w:firstLine="709"/>
        <w:jc w:val="both"/>
      </w:pPr>
      <w:r>
        <w:t>Общаются непрофессионально, порой несдержанно и грубо.</w:t>
      </w:r>
    </w:p>
    <w:p w14:paraId="17000000">
      <w:pPr>
        <w:spacing w:line="240" w:lineRule="auto"/>
        <w:ind w:firstLine="709"/>
        <w:jc w:val="both"/>
      </w:pPr>
      <w:r>
        <w:t>Требуют доступ к личному счету, электронному кошельку или карте.</w:t>
      </w:r>
    </w:p>
    <w:p w14:paraId="18000000">
      <w:pPr>
        <w:spacing w:line="240" w:lineRule="auto"/>
        <w:ind w:firstLine="709"/>
        <w:jc w:val="both"/>
      </w:pPr>
      <w:r>
        <w:t>Действуют от имени известных банков и инвесткомпаний, но отношения к ним не имеют.</w:t>
      </w:r>
    </w:p>
    <w:p w14:paraId="19000000">
      <w:pPr>
        <w:spacing w:line="240" w:lineRule="auto"/>
        <w:ind w:firstLine="709"/>
        <w:jc w:val="both"/>
      </w:pPr>
      <w:r>
        <w:t>Рекомендуют установить сторонние приложения.</w:t>
      </w:r>
    </w:p>
    <w:p w14:paraId="1A000000">
      <w:pPr>
        <w:spacing w:line="240" w:lineRule="auto"/>
        <w:ind w:firstLine="709"/>
        <w:jc w:val="both"/>
      </w:pPr>
      <w:r>
        <w:t>Настаивают на получении займов, чтобы продолжить инвестировать.</w:t>
      </w:r>
    </w:p>
    <w:p w14:paraId="1B000000">
      <w:pPr>
        <w:spacing w:line="240" w:lineRule="auto"/>
        <w:ind w:firstLine="709"/>
        <w:jc w:val="both"/>
      </w:pPr>
      <w:r>
        <w:t>Сайт выполнен непрофессионально, но на первым взгляд его сложно отличить от сайта настоящей компании.</w:t>
      </w:r>
    </w:p>
    <w:p w14:paraId="1C000000">
      <w:pPr>
        <w:spacing w:line="240" w:lineRule="auto"/>
        <w:ind w:firstLine="709"/>
        <w:jc w:val="both"/>
      </w:pPr>
      <w:r>
        <w:t>Как понять, что с вами действительно общается сотрудник банка</w:t>
      </w:r>
    </w:p>
    <w:p w14:paraId="1D000000">
      <w:pPr>
        <w:spacing w:line="240" w:lineRule="auto"/>
        <w:ind w:firstLine="709"/>
        <w:jc w:val="both"/>
      </w:pPr>
      <w:r>
        <w:t>Сотрудник банка предложит открыть счет у брокера, работающего по лицензии Центробанка. Список таких брокеров есть на сайте ЦБ</w:t>
      </w:r>
    </w:p>
    <w:p w14:paraId="1E000000">
      <w:pPr>
        <w:spacing w:line="240" w:lineRule="auto"/>
        <w:ind w:firstLine="709"/>
        <w:jc w:val="both"/>
      </w:pPr>
      <w:r>
        <w:t>В деталях проинформирует об активах, комиссиях и налоговом вычете</w:t>
      </w:r>
    </w:p>
    <w:p w14:paraId="1F000000">
      <w:pPr>
        <w:spacing w:line="240" w:lineRule="auto"/>
        <w:ind w:firstLine="709"/>
        <w:jc w:val="both"/>
      </w:pPr>
      <w:r>
        <w:t>Развернуто ответит на вопросы, не станет давить или настаивать на вложениях в конкретный проект, а тем более — на немедленном переводе денег</w:t>
      </w:r>
    </w:p>
    <w:p w14:paraId="20000000">
      <w:pPr>
        <w:spacing w:line="240" w:lineRule="auto"/>
        <w:ind w:firstLine="709"/>
        <w:jc w:val="both"/>
      </w:pPr>
      <w:r>
        <w:t>Не обещает сверхприбыль и гарантированный доход. Предупреждает о рисках</w:t>
      </w:r>
    </w:p>
    <w:p w14:paraId="21000000">
      <w:pPr>
        <w:spacing w:line="240" w:lineRule="auto"/>
        <w:ind w:firstLine="709"/>
        <w:jc w:val="both"/>
      </w:pPr>
      <w:r>
        <w:t>Не просит перевести деньги на карту или на криптокошелек</w:t>
      </w:r>
    </w:p>
    <w:p w14:paraId="22000000">
      <w:pPr>
        <w:spacing w:line="240" w:lineRule="auto"/>
        <w:ind w:firstLine="709"/>
        <w:jc w:val="both"/>
      </w:pPr>
      <w:r>
        <w:t>Не предлагает общаться в сторонних сервисах видеосвязи и мессенджерах: Zoom, Skype, WhatsApp. Разговор происходит в чате на сайте или в приложении банка, либо по телефону</w:t>
      </w:r>
    </w:p>
    <w:p w14:paraId="23000000">
      <w:pPr>
        <w:spacing w:line="240" w:lineRule="auto"/>
        <w:ind w:firstLine="709"/>
        <w:jc w:val="both"/>
      </w:pPr>
      <w:r>
        <w:t>Никогда не запрашивает данные карты и код из СМС для подтверждения операции</w:t>
      </w:r>
    </w:p>
    <w:p w14:paraId="24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5 правил на случай, когда предлагают инвестировать:</w:t>
      </w:r>
    </w:p>
    <w:p w14:paraId="25000000">
      <w:pPr>
        <w:spacing w:line="240" w:lineRule="auto"/>
        <w:ind w:firstLine="709"/>
        <w:jc w:val="both"/>
      </w:pPr>
      <w:r>
        <w:t>Держите в секрете данные карты, не сообщайте коды из СМС и пуш-уведомлений.</w:t>
      </w:r>
    </w:p>
    <w:p w14:paraId="26000000">
      <w:pPr>
        <w:spacing w:line="240" w:lineRule="auto"/>
        <w:ind w:firstLine="709"/>
        <w:jc w:val="both"/>
      </w:pPr>
      <w:r>
        <w:t>Не переводите деньги незнакомцам.</w:t>
      </w:r>
    </w:p>
    <w:p w14:paraId="27000000">
      <w:pPr>
        <w:spacing w:line="240" w:lineRule="auto"/>
        <w:ind w:firstLine="709"/>
        <w:jc w:val="both"/>
      </w:pPr>
      <w:r>
        <w:t>Не торопитесь. В банке не будут настаивать на быстром пополнении счета.</w:t>
      </w:r>
    </w:p>
    <w:p w14:paraId="28000000">
      <w:pPr>
        <w:spacing w:line="240" w:lineRule="auto"/>
        <w:ind w:firstLine="709"/>
        <w:jc w:val="both"/>
      </w:pPr>
      <w:r>
        <w:t>Проверяйте и перепроверяйте информацию о банке и брокере. Она есть на официальных сайтах банковских учреждений.</w:t>
      </w:r>
    </w:p>
    <w:p w14:paraId="29000000">
      <w:pPr>
        <w:spacing w:line="240" w:lineRule="auto"/>
        <w:ind w:firstLine="709"/>
        <w:jc w:val="both"/>
      </w:pPr>
      <w:r>
        <w:t>При малейшем подозрении на попытку мошенничества прекращайте разговор.</w:t>
      </w:r>
    </w:p>
    <w:p w14:paraId="2A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Что делать, если данные попали к мошеннику:</w:t>
      </w:r>
    </w:p>
    <w:p w14:paraId="2B000000">
      <w:pPr>
        <w:spacing w:line="240" w:lineRule="auto"/>
        <w:ind w:firstLine="709"/>
        <w:jc w:val="both"/>
      </w:pPr>
      <w:r>
        <w:t>Если все же мошенникам удалось завладеть данными карты, обратитесь в службу поддержки банка или заблокируйте карту самостоятельно в банковском приложении.</w:t>
      </w:r>
    </w:p>
    <w:p w14:paraId="2C000000">
      <w:pPr>
        <w:widowControl w:val="0"/>
        <w:spacing w:line="240" w:lineRule="auto"/>
        <w:ind w:firstLine="709"/>
        <w:jc w:val="both"/>
        <w:rPr>
          <w:b w:val="0"/>
        </w:rPr>
      </w:pPr>
      <w:r>
        <w:t>Блокировка карты поможет сохранить оставшиеся деньги.</w:t>
      </w:r>
    </w:p>
    <w:p w14:paraId="2D000000">
      <w:pPr>
        <w:widowControl w:val="0"/>
        <w:spacing w:line="240" w:lineRule="auto"/>
        <w:ind w:firstLine="709"/>
        <w:jc w:val="both"/>
      </w:pPr>
    </w:p>
    <w:p w14:paraId="2E000000">
      <w:pPr>
        <w:widowControl w:val="0"/>
        <w:spacing w:line="240" w:lineRule="auto"/>
        <w:ind w:firstLine="709"/>
        <w:jc w:val="both"/>
      </w:pPr>
    </w:p>
    <w:p w14:paraId="2F000000">
      <w:pPr>
        <w:widowControl w:val="0"/>
        <w:spacing w:line="240" w:lineRule="auto"/>
        <w:ind w:firstLine="709"/>
        <w:jc w:val="both"/>
        <w:rPr>
          <w:b w:val="0"/>
        </w:rPr>
      </w:pPr>
      <w:r>
        <w:t xml:space="preserve">Помощник прокурора </w:t>
      </w:r>
    </w:p>
    <w:p w14:paraId="30000000">
      <w:pPr>
        <w:widowControl w:val="0"/>
        <w:spacing w:line="240" w:lineRule="auto"/>
        <w:ind w:firstLine="709"/>
        <w:jc w:val="both"/>
      </w:pPr>
      <w:r>
        <w:t>Граур В.В.</w:t>
      </w:r>
    </w:p>
    <w:p w14:paraId="31000000">
      <w:pPr>
        <w:widowControl w:val="0"/>
        <w:spacing w:line="240" w:lineRule="auto"/>
        <w:ind w:firstLine="709"/>
        <w:jc w:val="both"/>
      </w:pPr>
    </w:p>
    <w:p w14:paraId="32000000">
      <w:pPr>
        <w:widowControl w:val="0"/>
        <w:spacing w:line="240" w:lineRule="auto"/>
        <w:ind w:firstLine="709"/>
        <w:jc w:val="both"/>
      </w:pPr>
    </w:p>
    <w:p w14:paraId="33000000">
      <w:pPr>
        <w:widowControl w:val="0"/>
        <w:spacing w:line="240" w:lineRule="auto"/>
        <w:ind w:firstLine="709"/>
        <w:jc w:val="both"/>
      </w:pPr>
    </w:p>
    <w:p w14:paraId="34000000">
      <w:pPr>
        <w:widowControl w:val="0"/>
        <w:spacing w:line="240" w:lineRule="auto"/>
        <w:ind w:firstLine="709"/>
        <w:jc w:val="both"/>
      </w:pPr>
    </w:p>
    <w:p w14:paraId="35000000">
      <w:pPr>
        <w:widowControl w:val="0"/>
        <w:spacing w:line="240" w:lineRule="auto"/>
        <w:ind w:firstLine="709"/>
        <w:jc w:val="both"/>
      </w:pPr>
    </w:p>
    <w:p w14:paraId="36000000">
      <w:pPr>
        <w:widowControl w:val="0"/>
        <w:spacing w:line="240" w:lineRule="auto"/>
        <w:ind w:firstLine="709"/>
        <w:jc w:val="both"/>
      </w:pPr>
    </w:p>
    <w:p w14:paraId="37000000">
      <w:pPr>
        <w:widowControl w:val="0"/>
        <w:spacing w:line="240" w:lineRule="auto"/>
        <w:ind w:firstLine="709"/>
        <w:jc w:val="both"/>
      </w:pPr>
    </w:p>
    <w:p w14:paraId="38000000">
      <w:pPr>
        <w:widowControl w:val="0"/>
        <w:spacing w:line="240" w:lineRule="auto"/>
        <w:ind w:firstLine="709"/>
        <w:jc w:val="both"/>
      </w:pPr>
    </w:p>
    <w:p w14:paraId="39000000">
      <w:pPr>
        <w:widowControl w:val="0"/>
        <w:spacing w:line="240" w:lineRule="auto"/>
        <w:ind w:firstLine="709"/>
        <w:jc w:val="both"/>
      </w:pPr>
    </w:p>
    <w:p w14:paraId="3A000000">
      <w:pPr>
        <w:widowControl w:val="0"/>
        <w:spacing w:line="240" w:lineRule="auto"/>
        <w:ind w:firstLine="0"/>
        <w:jc w:val="center"/>
      </w:pPr>
      <w:r>
        <w:t>Прокуратура Тарасовского района информирует о способах мошенничества в мессенджере «MAX»</w:t>
      </w:r>
    </w:p>
    <w:p w14:paraId="3B000000">
      <w:pPr>
        <w:spacing w:line="240" w:lineRule="auto"/>
        <w:ind w:firstLine="709"/>
        <w:jc w:val="both"/>
      </w:pPr>
    </w:p>
    <w:p w14:paraId="3C000000">
      <w:pPr>
        <w:spacing w:line="240" w:lineRule="auto"/>
        <w:ind w:firstLine="709"/>
        <w:jc w:val="both"/>
      </w:pPr>
      <w:r>
        <w:t>Мошенническая схема с мессенджером Max и кража аккаунтов на Госуслугах</w:t>
      </w:r>
    </w:p>
    <w:p w14:paraId="3D000000">
      <w:pPr>
        <w:spacing w:line="240" w:lineRule="auto"/>
        <w:ind w:firstLine="709"/>
        <w:jc w:val="both"/>
      </w:pPr>
      <w:r>
        <w:t>В СМИ появились сообщения о новой схеме мошенничества, в которой злоумышленники используют российский мессенджер Max (был назначен национальный мессенджер в июле) для получения доступа к аккаунтам пользователей портала «Госуслуги». Мошенники звонят жертве, представляются сотрудниками Max и под предлогом «дополнительной защиты» просят продиктовать СМС-код, якобы для активации аккаунта. На самом деле это код подтверждения входа на Госуслуги. Получив его, злоумышленники получают доступ к учётной записи и могут похищать персональные данные или оформлять кредиты на имя пользователя.</w:t>
      </w:r>
    </w:p>
    <w:p w14:paraId="3E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Как это работает:</w:t>
      </w:r>
    </w:p>
    <w:p w14:paraId="3F000000">
      <w:pPr>
        <w:spacing w:line="240" w:lineRule="auto"/>
        <w:ind w:firstLine="709"/>
        <w:jc w:val="both"/>
      </w:pPr>
      <w:r>
        <w:t>Звонок с неизвестного номера с предложением зарегистрироваться в «национальном мессенджере» Max.</w:t>
      </w:r>
    </w:p>
    <w:p w14:paraId="40000000">
      <w:pPr>
        <w:spacing w:line="240" w:lineRule="auto"/>
        <w:ind w:firstLine="709"/>
        <w:jc w:val="both"/>
      </w:pPr>
      <w:r>
        <w:t>Убеждение пройти «активацию аккаунта безопасности» для защиты личных данных.</w:t>
      </w:r>
    </w:p>
    <w:p w14:paraId="41000000">
      <w:pPr>
        <w:spacing w:line="240" w:lineRule="auto"/>
        <w:ind w:firstLine="709"/>
        <w:jc w:val="both"/>
      </w:pPr>
      <w:r>
        <w:t>Запрос СМС-кода, якобы присланного Max, который на самом деле приходит от Госуслуг.</w:t>
      </w:r>
    </w:p>
    <w:p w14:paraId="42000000">
      <w:pPr>
        <w:spacing w:line="240" w:lineRule="auto"/>
        <w:ind w:firstLine="709"/>
        <w:jc w:val="both"/>
      </w:pPr>
      <w:r>
        <w:t>Пострадавшим внушают, что код из СМС связан с регистрацией в Max, хотя на самом деле это одноразовый код от Госуслуг. Несмотря на заявления об интеграции сервисов, официально она пока не реализована.</w:t>
      </w:r>
    </w:p>
    <w:p w14:paraId="43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Социальная инженерия и фишинг в схеме</w:t>
      </w:r>
    </w:p>
    <w:p w14:paraId="44000000">
      <w:pPr>
        <w:spacing w:line="240" w:lineRule="auto"/>
        <w:ind w:firstLine="709"/>
        <w:jc w:val="both"/>
        <w:rPr>
          <w:b w:val="1"/>
        </w:rPr>
      </w:pPr>
      <w:r>
        <w:rPr>
          <w:b w:val="1"/>
        </w:rPr>
        <w:t>Мошенники применяют методы фишинга (voice-phishing) и социальной инженерии, опираясь на:</w:t>
      </w:r>
    </w:p>
    <w:p w14:paraId="45000000">
      <w:pPr>
        <w:spacing w:line="240" w:lineRule="auto"/>
        <w:ind w:firstLine="709"/>
        <w:jc w:val="both"/>
      </w:pPr>
      <w:r>
        <w:t>Имитацию государственной принадлежности. Преступники подчеркивают, что Max – это национальный «государственный» мессенджер, якобы тесно интегрированный с другими госуслугами, включая портал «Госуслуги». Это используется для повышения доверия жертвы и снятия подозрений: «раз мессенджер государственный, значит всё официально».</w:t>
      </w:r>
    </w:p>
    <w:p w14:paraId="46000000">
      <w:pPr>
        <w:spacing w:line="240" w:lineRule="auto"/>
        <w:ind w:firstLine="709"/>
        <w:jc w:val="both"/>
      </w:pPr>
      <w:r>
        <w:t>Создание ощущения срочности. Пользователя убеждают, что нужно срочно защитить аккаунт.</w:t>
      </w:r>
    </w:p>
    <w:p w14:paraId="47000000">
      <w:pPr>
        <w:spacing w:line="240" w:lineRule="auto"/>
        <w:ind w:firstLine="709"/>
        <w:jc w:val="both"/>
      </w:pPr>
      <w:r>
        <w:t>Притворство службой поддержки. Звонящий представляется сотрудником Max или Госуслуг.</w:t>
      </w:r>
    </w:p>
    <w:p w14:paraId="48000000">
      <w:pPr>
        <w:spacing w:line="240" w:lineRule="auto"/>
        <w:ind w:firstLine="709"/>
        <w:jc w:val="both"/>
      </w:pPr>
      <w:r>
        <w:t>Использование техноязыка. Жертве говорят о «проверке безопасности» или «двойной защите».</w:t>
      </w:r>
    </w:p>
    <w:p w14:paraId="49000000">
      <w:pPr>
        <w:widowControl w:val="0"/>
        <w:spacing w:line="240" w:lineRule="auto"/>
        <w:ind w:firstLine="709"/>
        <w:jc w:val="both"/>
      </w:pPr>
      <w:r>
        <w:t>Сценарий построен на реальных новостях и предполагаемой связи Max с госструктурами, что делает обман особенно правдоподобным для неподготовленных пользователей.</w:t>
      </w:r>
    </w:p>
    <w:p w14:paraId="4A000000">
      <w:pPr>
        <w:widowControl w:val="0"/>
        <w:spacing w:line="240" w:lineRule="auto"/>
        <w:ind w:firstLine="709"/>
        <w:jc w:val="both"/>
      </w:pPr>
    </w:p>
    <w:p w14:paraId="4B000000">
      <w:pPr>
        <w:widowControl w:val="0"/>
        <w:spacing w:line="240" w:lineRule="auto"/>
        <w:ind w:firstLine="709"/>
        <w:jc w:val="both"/>
      </w:pPr>
      <w:r>
        <w:t>Помощник прокурора</w:t>
      </w:r>
    </w:p>
    <w:p w14:paraId="4C000000">
      <w:pPr>
        <w:widowControl w:val="0"/>
        <w:spacing w:line="240" w:lineRule="auto"/>
        <w:ind w:firstLine="709"/>
        <w:jc w:val="both"/>
      </w:pPr>
      <w:r>
        <w:t>Граур В.В.</w:t>
      </w:r>
    </w:p>
    <w:sectPr>
      <w:headerReference r:id="rId1" w:type="default"/>
      <w:headerReference r:id="rId2" w:type="even"/>
      <w:pgSz w:h="16838" w:orient="portrait" w:w="11906"/>
      <w:pgMar w:bottom="774" w:footer="709" w:gutter="0" w:header="709" w:left="1259" w:right="567" w:top="61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/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2" w:type="paragraph">
    <w:name w:val="page number"/>
    <w:basedOn w:val="Style_4"/>
    <w:link w:val="Style_2_ch"/>
  </w:style>
  <w:style w:styleId="Style_2_ch" w:type="character">
    <w:name w:val="page number"/>
    <w:basedOn w:val="Style_4_ch"/>
    <w:link w:val="Style_2"/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widowControl w:val="0"/>
      <w:spacing w:after="120"/>
      <w:ind/>
    </w:pPr>
  </w:style>
  <w:style w:styleId="Style_11_ch" w:type="character">
    <w:name w:val="Body Text"/>
    <w:basedOn w:val="Style_3_ch"/>
    <w:link w:val="Style_11"/>
  </w:style>
  <w:style w:styleId="Style_4" w:type="paragraph">
    <w:name w:val="Знак"/>
    <w:basedOn w:val="Style_3"/>
    <w:link w:val="Style_4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4_ch" w:type="character">
    <w:name w:val="Знак"/>
    <w:basedOn w:val="Style_3_ch"/>
    <w:link w:val="Style_4"/>
    <w:rPr>
      <w:rFonts w:ascii="Verdana" w:hAnsi="Verdana"/>
      <w:sz w:val="20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2"/>
    <w:basedOn w:val="Style_3"/>
    <w:link w:val="Style_13_ch"/>
    <w:pPr>
      <w:widowControl w:val="0"/>
      <w:spacing w:after="120" w:line="480" w:lineRule="auto"/>
      <w:ind/>
    </w:pPr>
  </w:style>
  <w:style w:styleId="Style_13_ch" w:type="character">
    <w:name w:val="Body Text 2"/>
    <w:basedOn w:val="Style_3_ch"/>
    <w:link w:val="Style_13"/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5"/>
    <w:next w:val="Style_3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3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 Знак"/>
    <w:basedOn w:val="Style_3"/>
    <w:link w:val="Style_21_ch"/>
    <w:pPr>
      <w:widowControl w:val="0"/>
      <w:spacing w:after="160" w:line="240" w:lineRule="exact"/>
      <w:ind/>
    </w:pPr>
    <w:rPr>
      <w:rFonts w:ascii="Verdana" w:hAnsi="Verdana"/>
      <w:sz w:val="24"/>
    </w:rPr>
  </w:style>
  <w:style w:styleId="Style_21_ch" w:type="character">
    <w:name w:val=" Знак"/>
    <w:basedOn w:val="Style_3_ch"/>
    <w:link w:val="Style_21"/>
    <w:rPr>
      <w:rFonts w:ascii="Verdana" w:hAnsi="Verdana"/>
      <w:sz w:val="24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ody Text Indent"/>
    <w:basedOn w:val="Style_3"/>
    <w:link w:val="Style_24_ch"/>
    <w:pPr>
      <w:widowControl w:val="0"/>
      <w:spacing w:after="120"/>
      <w:ind w:firstLine="0" w:left="283"/>
    </w:pPr>
    <w:rPr>
      <w:sz w:val="24"/>
    </w:rPr>
  </w:style>
  <w:style w:styleId="Style_24_ch" w:type="character">
    <w:name w:val="Body Text Indent"/>
    <w:basedOn w:val="Style_3_ch"/>
    <w:link w:val="Style_24"/>
    <w:rPr>
      <w:sz w:val="24"/>
    </w:rPr>
  </w:style>
  <w:style w:styleId="Style_25" w:type="paragraph">
    <w:name w:val="toc 8"/>
    <w:next w:val="Style_3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Знак Знак Знак Знак"/>
    <w:basedOn w:val="Style_3"/>
    <w:link w:val="Style_26_ch"/>
    <w:pPr>
      <w:widowControl w:val="0"/>
      <w:spacing w:after="160" w:line="240" w:lineRule="exact"/>
      <w:ind/>
    </w:pPr>
    <w:rPr>
      <w:sz w:val="20"/>
    </w:rPr>
  </w:style>
  <w:style w:styleId="Style_26_ch" w:type="character">
    <w:name w:val="Знак Знак Знак Знак"/>
    <w:basedOn w:val="Style_3_ch"/>
    <w:link w:val="Style_26"/>
    <w:rPr>
      <w:sz w:val="20"/>
    </w:rPr>
  </w:style>
  <w:style w:styleId="Style_27" w:type="paragraph">
    <w:name w:val="ConsPlusNormal"/>
    <w:link w:val="Style_27_ch"/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9" w:type="paragraph">
    <w:name w:val=" Знак Знак Знак Знак1"/>
    <w:basedOn w:val="Style_3"/>
    <w:link w:val="Style_29_ch"/>
    <w:pPr>
      <w:widowControl w:val="0"/>
      <w:spacing w:after="160" w:line="240" w:lineRule="exact"/>
      <w:ind w:firstLine="0" w:left="26"/>
    </w:pPr>
    <w:rPr>
      <w:sz w:val="24"/>
    </w:rPr>
  </w:style>
  <w:style w:styleId="Style_29_ch" w:type="character">
    <w:name w:val=" Знак Знак Знак Знак1"/>
    <w:basedOn w:val="Style_3_ch"/>
    <w:link w:val="Style_29"/>
    <w:rPr>
      <w:sz w:val="24"/>
    </w:rPr>
  </w:style>
  <w:style w:styleId="Style_30" w:type="paragraph">
    <w:name w:val="Содержимое таблицы"/>
    <w:basedOn w:val="Style_3"/>
    <w:link w:val="Style_30_ch"/>
    <w:pPr>
      <w:widowControl w:val="0"/>
      <w:ind/>
    </w:pPr>
    <w:rPr>
      <w:sz w:val="24"/>
    </w:rPr>
  </w:style>
  <w:style w:styleId="Style_30_ch" w:type="character">
    <w:name w:val="Содержимое таблицы"/>
    <w:basedOn w:val="Style_3_ch"/>
    <w:link w:val="Style_30"/>
    <w:rPr>
      <w:sz w:val="24"/>
    </w:rPr>
  </w:style>
  <w:style w:styleId="Style_31" w:type="paragraph">
    <w:name w:val="footer"/>
    <w:basedOn w:val="Style_3"/>
    <w:link w:val="Style_31_ch"/>
    <w:pPr>
      <w:widowControl w:val="0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3_ch"/>
    <w:link w:val="Style_31"/>
  </w:style>
  <w:style w:styleId="Style_32" w:type="paragraph">
    <w:name w:val=" Знак1"/>
    <w:basedOn w:val="Style_3"/>
    <w:link w:val="Style_32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32_ch" w:type="character">
    <w:name w:val=" Знак1"/>
    <w:basedOn w:val="Style_3_ch"/>
    <w:link w:val="Style_32"/>
    <w:rPr>
      <w:rFonts w:ascii="Tahoma" w:hAnsi="Tahoma"/>
      <w:sz w:val="20"/>
    </w:rPr>
  </w:style>
  <w:style w:styleId="Style_33" w:type="paragraph">
    <w:name w:val="Subtitle"/>
    <w:next w:val="Style_3"/>
    <w:link w:val="Style_3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 Знак Знак Знак1 Знак"/>
    <w:basedOn w:val="Style_3"/>
    <w:link w:val="Style_36_ch"/>
    <w:pPr>
      <w:widowControl w:val="0"/>
      <w:spacing w:after="160" w:line="240" w:lineRule="exact"/>
      <w:ind w:firstLine="0" w:left="26"/>
    </w:pPr>
    <w:rPr>
      <w:sz w:val="24"/>
    </w:rPr>
  </w:style>
  <w:style w:styleId="Style_36_ch" w:type="character">
    <w:name w:val=" Знак Знак Знак1 Знак"/>
    <w:basedOn w:val="Style_3_ch"/>
    <w:link w:val="Style_36"/>
    <w:rPr>
      <w:sz w:val="24"/>
    </w:rPr>
  </w:style>
  <w:style w:styleId="Style_37" w:type="paragraph">
    <w:name w:val="heading 2"/>
    <w:next w:val="Style_3"/>
    <w:link w:val="Style_3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 Знак1 Знак Знак Знак Знак Знак Знак"/>
    <w:basedOn w:val="Style_3"/>
    <w:link w:val="Style_38_ch"/>
    <w:pPr>
      <w:widowControl w:val="0"/>
      <w:spacing w:after="160" w:line="240" w:lineRule="exact"/>
      <w:ind w:firstLine="0" w:left="26"/>
    </w:pPr>
    <w:rPr>
      <w:sz w:val="24"/>
    </w:rPr>
  </w:style>
  <w:style w:styleId="Style_38_ch" w:type="character">
    <w:name w:val=" Знак1 Знак Знак Знак Знак Знак Знак"/>
    <w:basedOn w:val="Style_3_ch"/>
    <w:link w:val="Style_38"/>
    <w:rPr>
      <w:sz w:val="24"/>
    </w:rPr>
  </w:style>
  <w:style w:styleId="Style_39" w:type="table">
    <w:name w:val="Table Grid"/>
    <w:basedOn w:val="Style_4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2026-03-19T14:57:06Z</dcterms:created>
  <dcterms:modified xsi:type="dcterms:W3CDTF">2026-03-19T14:57:06Z</dcterms:modified>
</cp:coreProperties>
</file>